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B201" w14:textId="77777777" w:rsidR="00B057DF" w:rsidRPr="002F544E" w:rsidRDefault="00B057DF" w:rsidP="00B47D2B">
      <w:pPr>
        <w:spacing w:line="276" w:lineRule="auto"/>
        <w:rPr>
          <w:rFonts w:ascii="Verdana" w:hAnsi="Verdana"/>
          <w:sz w:val="18"/>
          <w:szCs w:val="18"/>
        </w:rPr>
      </w:pPr>
    </w:p>
    <w:p w14:paraId="5488924D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1 </w:t>
      </w:r>
    </w:p>
    <w:p w14:paraId="166167D2" w14:textId="55AFED3A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De vereniging heeft een </w:t>
      </w:r>
      <w:r w:rsidR="00D86825" w:rsidRPr="002F544E">
        <w:rPr>
          <w:rFonts w:ascii="Verdana" w:hAnsi="Verdana"/>
          <w:i/>
          <w:iCs/>
          <w:sz w:val="18"/>
          <w:szCs w:val="18"/>
        </w:rPr>
        <w:t xml:space="preserve">Commissie </w:t>
      </w:r>
      <w:r w:rsidRPr="002F544E">
        <w:rPr>
          <w:rFonts w:ascii="Verdana" w:hAnsi="Verdana"/>
          <w:i/>
          <w:iCs/>
          <w:sz w:val="18"/>
          <w:szCs w:val="18"/>
        </w:rPr>
        <w:t>liquidatie verzamelingen</w:t>
      </w:r>
      <w:r w:rsidRPr="002F544E">
        <w:rPr>
          <w:rFonts w:ascii="Verdana" w:hAnsi="Verdana"/>
          <w:sz w:val="18"/>
          <w:szCs w:val="18"/>
        </w:rPr>
        <w:t xml:space="preserve"> die postzegelverzamelaars en/of hun erfgenamen kan adviseren over de wijze van liquidatie van een verzameling. </w:t>
      </w:r>
    </w:p>
    <w:p w14:paraId="31D8A095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5E953DEF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2 </w:t>
      </w:r>
    </w:p>
    <w:p w14:paraId="1E75D072" w14:textId="516CA8F8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De commissie bestaat uit tenminste 2 leden op voordracht van het bestuur der vereniging benoemd door en uit de leden. De voordracht wordt – onder vermelding van de namen van de te benoemen commissieleden - op de agenda van de algemene ledenvergadering geplaatst. De ledenvergadering, waarvoor de benoeming is geagendeerd, benoemt de commissieleden met meerderheid van de - door de ter vergadering aanwezige leden - schriftelijk uitgebrachte stemmen. De </w:t>
      </w:r>
      <w:r w:rsidR="00D86825" w:rsidRPr="002F544E">
        <w:rPr>
          <w:rFonts w:ascii="Verdana" w:hAnsi="Verdana"/>
          <w:sz w:val="18"/>
          <w:szCs w:val="18"/>
        </w:rPr>
        <w:t>C</w:t>
      </w:r>
      <w:r w:rsidRPr="002F544E">
        <w:rPr>
          <w:rFonts w:ascii="Verdana" w:hAnsi="Verdana"/>
          <w:sz w:val="18"/>
          <w:szCs w:val="18"/>
        </w:rPr>
        <w:t xml:space="preserve">ommissie kan zich in bijzondere gevallen laten bijstaan door andere leden van de vereniging, voor wie dan dezelfde rechten en plichten gelden als voor de leden van de commissie. </w:t>
      </w:r>
    </w:p>
    <w:p w14:paraId="28CA57FE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759E760D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3 </w:t>
      </w:r>
    </w:p>
    <w:p w14:paraId="5B23B533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Het benoemde commissielid behoudt zijn mandaat gedurende een periode van 4 jaar. Hij/zij kan op voordracht van het bestuur der vereniging telkens voor een gelijke periode worden herbenoemd. </w:t>
      </w:r>
    </w:p>
    <w:p w14:paraId="03EB55B3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76436447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4 </w:t>
      </w:r>
    </w:p>
    <w:p w14:paraId="126AF719" w14:textId="69419F5C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De commissie adviseert, wanneer haar dit wordt verzocht, over de wijze waarop een verzameling - eventueel </w:t>
      </w:r>
      <w:proofErr w:type="gramStart"/>
      <w:r w:rsidRPr="002F544E">
        <w:rPr>
          <w:rFonts w:ascii="Verdana" w:hAnsi="Verdana"/>
          <w:sz w:val="18"/>
          <w:szCs w:val="18"/>
        </w:rPr>
        <w:t>één</w:t>
      </w:r>
      <w:proofErr w:type="gramEnd"/>
      <w:r w:rsidRPr="002F544E">
        <w:rPr>
          <w:rFonts w:ascii="Verdana" w:hAnsi="Verdana"/>
          <w:sz w:val="18"/>
          <w:szCs w:val="18"/>
        </w:rPr>
        <w:t xml:space="preserve"> of enkele losse stukken - kan worden geliquideerd. Zij kan desgevraagd ook haar globale oordeel geven over de verkoopwaarde van de haar getoonde objecten. Een advies en oordeel wordt door 2 leden van de commissie gezamenlijk </w:t>
      </w:r>
      <w:r w:rsidR="002F5D1A">
        <w:rPr>
          <w:rFonts w:ascii="Verdana" w:hAnsi="Verdana"/>
          <w:sz w:val="18"/>
          <w:szCs w:val="18"/>
        </w:rPr>
        <w:t xml:space="preserve">-indien de aanvrager dit wenst </w:t>
      </w:r>
      <w:r w:rsidRPr="002F544E">
        <w:rPr>
          <w:rFonts w:ascii="Verdana" w:hAnsi="Verdana"/>
          <w:sz w:val="18"/>
          <w:szCs w:val="18"/>
        </w:rPr>
        <w:t>schriftelijk</w:t>
      </w:r>
      <w:r w:rsidR="002F5D1A">
        <w:rPr>
          <w:rFonts w:ascii="Verdana" w:hAnsi="Verdana"/>
          <w:sz w:val="18"/>
          <w:szCs w:val="18"/>
        </w:rPr>
        <w:t>-</w:t>
      </w:r>
      <w:bookmarkStart w:id="0" w:name="_GoBack"/>
      <w:bookmarkEnd w:id="0"/>
      <w:r w:rsidRPr="002F544E">
        <w:rPr>
          <w:rFonts w:ascii="Verdana" w:hAnsi="Verdana"/>
          <w:sz w:val="18"/>
          <w:szCs w:val="18"/>
        </w:rPr>
        <w:t xml:space="preserve"> uitgebracht. Het advies van de commissie garandeert geen verkoop noch opbrengst. Eigendom van de stukken blijft bij de inbrenger. </w:t>
      </w:r>
    </w:p>
    <w:p w14:paraId="2C9644F0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1BDF7046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5 </w:t>
      </w:r>
    </w:p>
    <w:p w14:paraId="65E2F309" w14:textId="72B5F3D3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De adviezen en oordelen van de commissie beperken zich tot objecten, bestaande uit postzegels, poststukken, </w:t>
      </w:r>
      <w:proofErr w:type="spellStart"/>
      <w:r w:rsidRPr="002F544E">
        <w:rPr>
          <w:rFonts w:ascii="Verdana" w:hAnsi="Verdana"/>
          <w:sz w:val="18"/>
          <w:szCs w:val="18"/>
        </w:rPr>
        <w:t>postwaardestukken</w:t>
      </w:r>
      <w:proofErr w:type="spellEnd"/>
      <w:r w:rsidRPr="002F544E">
        <w:rPr>
          <w:rFonts w:ascii="Verdana" w:hAnsi="Verdana"/>
          <w:sz w:val="18"/>
          <w:szCs w:val="18"/>
        </w:rPr>
        <w:t xml:space="preserve">, e.d. Het oordeel van de commissie is geheel vrijblijvend, is geen taxatie en bindt noch de commissieleden noch de vereniging. </w:t>
      </w:r>
    </w:p>
    <w:p w14:paraId="4E9296A8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68AA8492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6 </w:t>
      </w:r>
    </w:p>
    <w:p w14:paraId="70ACB133" w14:textId="4957ED28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Leden van de commissie aan wie een object ter taxatie is voorgelegd, zijn verplicht zich te onthouden van onderhandse aankoop daarvan of van stukken daaruit. </w:t>
      </w:r>
    </w:p>
    <w:p w14:paraId="2C16DB67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03EBCB39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7 </w:t>
      </w:r>
    </w:p>
    <w:p w14:paraId="07E00428" w14:textId="4D31E9BA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De commissie kan haar werkzaamheden verrichten op aanvraag van leden of erfgenamen van leden van de vereniging. Reiskosten van de leden der commissie die een advies en/of oordeel uitbrengen, dienen door de aanvrager te worden vergoed op basis van kilometervergoeding voor het dan geldende ANWB-kilometertarief. Werkzaamheden verricht voor leden van de vereniging of hun erfgenamen zijn gratis, voor niet-leden wordt een vergoeding in rekening gebracht. De commissie verstrekt aan aanvragers een raming van de </w:t>
      </w:r>
      <w:proofErr w:type="gramStart"/>
      <w:r w:rsidRPr="002F544E">
        <w:rPr>
          <w:rFonts w:ascii="Verdana" w:hAnsi="Verdana"/>
          <w:sz w:val="18"/>
          <w:szCs w:val="18"/>
        </w:rPr>
        <w:t>te hunner laste</w:t>
      </w:r>
      <w:proofErr w:type="gramEnd"/>
      <w:r w:rsidRPr="002F544E">
        <w:rPr>
          <w:rFonts w:ascii="Verdana" w:hAnsi="Verdana"/>
          <w:sz w:val="18"/>
          <w:szCs w:val="18"/>
        </w:rPr>
        <w:t xml:space="preserve"> komende kosten en vraagt instemming daarmee, alvorens haar werkzaamheden aan te vangen. </w:t>
      </w:r>
    </w:p>
    <w:p w14:paraId="380C19B8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4343819C" w14:textId="77777777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2F544E">
        <w:rPr>
          <w:rFonts w:ascii="Verdana" w:hAnsi="Verdana"/>
          <w:b/>
          <w:bCs/>
          <w:sz w:val="18"/>
          <w:szCs w:val="18"/>
        </w:rPr>
        <w:t xml:space="preserve">Artikel 8 </w:t>
      </w:r>
    </w:p>
    <w:p w14:paraId="0FD00861" w14:textId="0EE06861" w:rsidR="00211161" w:rsidRPr="002F544E" w:rsidRDefault="00211161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Over geschillen inzake de uitvoering van dit reglement en in alle gevallen waarin dit reglement niet voorziet, beslist het dagelijks bestuur van de vereniging. </w:t>
      </w:r>
      <w:r w:rsidR="00D86825" w:rsidRPr="002F544E">
        <w:rPr>
          <w:rFonts w:ascii="Verdana" w:hAnsi="Verdana"/>
          <w:sz w:val="18"/>
          <w:szCs w:val="18"/>
        </w:rPr>
        <w:t>Bezwaar hiertegen is mogelijk bij het bestuur; d</w:t>
      </w:r>
      <w:r w:rsidRPr="002F544E">
        <w:rPr>
          <w:rFonts w:ascii="Verdana" w:hAnsi="Verdana"/>
          <w:sz w:val="18"/>
          <w:szCs w:val="18"/>
        </w:rPr>
        <w:t xml:space="preserve">e uitspraak van het bestuur is bindend.   </w:t>
      </w:r>
    </w:p>
    <w:p w14:paraId="5852F3CA" w14:textId="015F712A" w:rsidR="002F544E" w:rsidRDefault="002F544E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4585177F" w14:textId="3119804A" w:rsidR="002F544E" w:rsidRDefault="002F544E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Gouda, 29 augustus 2016</w:t>
      </w:r>
    </w:p>
    <w:p w14:paraId="3A5B54D9" w14:textId="5CD2EAFD" w:rsidR="002F544E" w:rsidRDefault="002F544E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228DC3CE" w14:textId="77777777" w:rsidR="002F544E" w:rsidRPr="002F544E" w:rsidRDefault="002F544E" w:rsidP="00B47D2B">
      <w:pPr>
        <w:tabs>
          <w:tab w:val="left" w:pos="1701"/>
        </w:tabs>
        <w:spacing w:line="276" w:lineRule="auto"/>
        <w:rPr>
          <w:rFonts w:ascii="Verdana" w:hAnsi="Verdana"/>
          <w:sz w:val="18"/>
          <w:szCs w:val="18"/>
        </w:rPr>
      </w:pPr>
    </w:p>
    <w:p w14:paraId="77C02BD0" w14:textId="79C90D8B" w:rsidR="00841EE3" w:rsidRPr="002F544E" w:rsidRDefault="00211161" w:rsidP="00B47D2B">
      <w:pPr>
        <w:tabs>
          <w:tab w:val="left" w:pos="1701"/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  <w:r w:rsidRPr="002F544E">
        <w:rPr>
          <w:rFonts w:ascii="Verdana" w:hAnsi="Verdana"/>
          <w:sz w:val="18"/>
          <w:szCs w:val="18"/>
        </w:rPr>
        <w:t xml:space="preserve">B. Belonje, voorzitter. </w:t>
      </w:r>
      <w:r w:rsidR="002F544E">
        <w:rPr>
          <w:rFonts w:ascii="Verdana" w:hAnsi="Verdana"/>
          <w:sz w:val="18"/>
          <w:szCs w:val="18"/>
        </w:rPr>
        <w:tab/>
      </w:r>
      <w:r w:rsidRPr="002F544E">
        <w:rPr>
          <w:rFonts w:ascii="Verdana" w:hAnsi="Verdana"/>
          <w:sz w:val="18"/>
          <w:szCs w:val="18"/>
        </w:rPr>
        <w:t>W. den Ouden, secretaris.</w:t>
      </w:r>
    </w:p>
    <w:sectPr w:rsidR="00841EE3" w:rsidRPr="002F544E" w:rsidSect="002F544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2075" w14:textId="77777777" w:rsidR="00456271" w:rsidRDefault="00456271" w:rsidP="00B057DF">
      <w:r>
        <w:separator/>
      </w:r>
    </w:p>
  </w:endnote>
  <w:endnote w:type="continuationSeparator" w:id="0">
    <w:p w14:paraId="72C4F296" w14:textId="77777777" w:rsidR="00456271" w:rsidRDefault="00456271" w:rsidP="00B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AF12" w14:textId="77777777" w:rsidR="00456271" w:rsidRDefault="00456271" w:rsidP="00B057DF">
      <w:r>
        <w:separator/>
      </w:r>
    </w:p>
  </w:footnote>
  <w:footnote w:type="continuationSeparator" w:id="0">
    <w:p w14:paraId="5B6A7258" w14:textId="77777777" w:rsidR="00456271" w:rsidRDefault="00456271" w:rsidP="00B0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313" w14:textId="1D583442" w:rsidR="00B057DF" w:rsidRPr="00B057DF" w:rsidRDefault="00724745" w:rsidP="00B057DF">
    <w:pPr>
      <w:tabs>
        <w:tab w:val="right" w:pos="9072"/>
      </w:tabs>
      <w:rPr>
        <w:rFonts w:ascii="Verdana" w:hAnsi="Verdana"/>
        <w:bCs/>
      </w:rPr>
    </w:pPr>
    <w:r>
      <w:rPr>
        <w:rFonts w:ascii="Verdana" w:hAnsi="Verdana"/>
        <w:bCs/>
        <w:noProof/>
      </w:rPr>
      <w:drawing>
        <wp:anchor distT="0" distB="0" distL="114300" distR="114300" simplePos="0" relativeHeight="251657216" behindDoc="0" locked="0" layoutInCell="1" allowOverlap="1" wp14:anchorId="3EC5D621" wp14:editId="7EE7CAB3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885825" cy="904875"/>
          <wp:effectExtent l="0" t="0" r="9525" b="9525"/>
          <wp:wrapNone/>
          <wp:docPr id="7" name="Afbeelding 1" descr="V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7DF" w:rsidRPr="00B057DF">
      <w:rPr>
        <w:rFonts w:ascii="Verdana" w:hAnsi="Verdana"/>
        <w:bCs/>
      </w:rPr>
      <w:tab/>
      <w:t>VERENIGING VAN POSTZEGELVERZAMELAARS “GOUDA”</w:t>
    </w:r>
  </w:p>
  <w:p w14:paraId="734291D5" w14:textId="77777777" w:rsidR="00B057DF" w:rsidRPr="00B057DF" w:rsidRDefault="00B057DF" w:rsidP="00B057DF">
    <w:pPr>
      <w:pStyle w:val="Koptekst"/>
      <w:tabs>
        <w:tab w:val="clear" w:pos="4536"/>
      </w:tabs>
      <w:rPr>
        <w:rFonts w:ascii="Verdana" w:hAnsi="Verdana"/>
        <w:bCs/>
        <w:sz w:val="24"/>
      </w:rPr>
    </w:pPr>
  </w:p>
  <w:p w14:paraId="5BE181BA" w14:textId="77777777" w:rsidR="00E61385" w:rsidRDefault="00B057DF" w:rsidP="00211161">
    <w:pPr>
      <w:pStyle w:val="Koptekst"/>
      <w:tabs>
        <w:tab w:val="clear" w:pos="4536"/>
        <w:tab w:val="left" w:pos="4395"/>
      </w:tabs>
      <w:jc w:val="right"/>
      <w:rPr>
        <w:rFonts w:ascii="Verdana" w:hAnsi="Verdana"/>
        <w:bCs/>
      </w:rPr>
    </w:pPr>
    <w:r w:rsidRPr="00B057DF">
      <w:rPr>
        <w:rFonts w:ascii="Verdana" w:hAnsi="Verdana"/>
        <w:bCs/>
      </w:rPr>
      <w:tab/>
    </w:r>
    <w:r w:rsidR="00211161">
      <w:rPr>
        <w:rFonts w:ascii="Verdana" w:hAnsi="Verdana"/>
        <w:bCs/>
      </w:rPr>
      <w:t>Reglement Liquidatie Verzamelingen</w:t>
    </w:r>
  </w:p>
  <w:p w14:paraId="753AA564" w14:textId="77777777" w:rsidR="00E61385" w:rsidRDefault="00E61385" w:rsidP="00E61385">
    <w:pPr>
      <w:pStyle w:val="Koptekst"/>
      <w:tabs>
        <w:tab w:val="clear" w:pos="4536"/>
        <w:tab w:val="left" w:pos="4395"/>
      </w:tabs>
      <w:jc w:val="right"/>
      <w:rPr>
        <w:rFonts w:ascii="Verdana" w:hAnsi="Verdana"/>
        <w:bCs/>
      </w:rPr>
    </w:pPr>
  </w:p>
  <w:p w14:paraId="65E7F1F3" w14:textId="51425653" w:rsidR="00B057DF" w:rsidRDefault="00B057DF" w:rsidP="00211161">
    <w:pPr>
      <w:pStyle w:val="Koptekst"/>
      <w:tabs>
        <w:tab w:val="clear" w:pos="4536"/>
        <w:tab w:val="left" w:pos="4395"/>
      </w:tabs>
      <w:jc w:val="right"/>
      <w:rPr>
        <w:rFonts w:ascii="Verdana" w:hAnsi="Verdana"/>
        <w:bCs/>
      </w:rPr>
    </w:pPr>
    <w:r w:rsidRPr="00B057DF">
      <w:rPr>
        <w:rFonts w:ascii="Verdana" w:hAnsi="Verdana"/>
        <w:bCs/>
      </w:rPr>
      <w:tab/>
    </w:r>
    <w:proofErr w:type="gramStart"/>
    <w:r w:rsidR="002F544E">
      <w:rPr>
        <w:rFonts w:ascii="Verdana" w:hAnsi="Verdana"/>
        <w:bCs/>
      </w:rPr>
      <w:t>augustus</w:t>
    </w:r>
    <w:proofErr w:type="gramEnd"/>
    <w:r w:rsidR="00211161">
      <w:rPr>
        <w:rFonts w:ascii="Verdana" w:hAnsi="Verdana"/>
        <w:bCs/>
      </w:rPr>
      <w:t xml:space="preserve"> 2016</w:t>
    </w:r>
  </w:p>
  <w:p w14:paraId="0E39E49A" w14:textId="77777777" w:rsidR="00E61385" w:rsidRDefault="00E61385" w:rsidP="00E61385">
    <w:pPr>
      <w:pStyle w:val="Koptekst"/>
      <w:tabs>
        <w:tab w:val="clear" w:pos="4536"/>
        <w:tab w:val="left" w:pos="4395"/>
      </w:tabs>
      <w:rPr>
        <w:rFonts w:ascii="Verdana" w:hAnsi="Verdana"/>
        <w:bCs/>
      </w:rPr>
    </w:pPr>
  </w:p>
  <w:p w14:paraId="5E039BF2" w14:textId="23F4E8B3" w:rsidR="00B057DF" w:rsidRPr="00B057DF" w:rsidRDefault="00724745" w:rsidP="00B057DF">
    <w:pPr>
      <w:pStyle w:val="Koptekst"/>
      <w:tabs>
        <w:tab w:val="clear" w:pos="4536"/>
      </w:tabs>
      <w:rPr>
        <w:rFonts w:ascii="Verdana" w:hAnsi="Verdana"/>
        <w:bCs/>
      </w:rPr>
    </w:pPr>
    <w:r>
      <w:rPr>
        <w:rFonts w:ascii="Verdana" w:hAnsi="Verdana"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B48974" wp14:editId="57C4621D">
              <wp:simplePos x="0" y="0"/>
              <wp:positionH relativeFrom="column">
                <wp:posOffset>-3810</wp:posOffset>
              </wp:positionH>
              <wp:positionV relativeFrom="paragraph">
                <wp:posOffset>92075</wp:posOffset>
              </wp:positionV>
              <wp:extent cx="5838190" cy="0"/>
              <wp:effectExtent l="5715" t="6350" r="1397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E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pt;margin-top:7.25pt;width:45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N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f5tk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79CA"/>
    <w:multiLevelType w:val="hybridMultilevel"/>
    <w:tmpl w:val="F70E6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304"/>
    <w:multiLevelType w:val="hybridMultilevel"/>
    <w:tmpl w:val="BD28337C"/>
    <w:lvl w:ilvl="0" w:tplc="B4C8D2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1"/>
    <w:rsid w:val="00081AB9"/>
    <w:rsid w:val="00153177"/>
    <w:rsid w:val="00211161"/>
    <w:rsid w:val="002F544E"/>
    <w:rsid w:val="002F5D1A"/>
    <w:rsid w:val="00357404"/>
    <w:rsid w:val="003724B8"/>
    <w:rsid w:val="00456271"/>
    <w:rsid w:val="0062170D"/>
    <w:rsid w:val="00724745"/>
    <w:rsid w:val="00841EE3"/>
    <w:rsid w:val="00B057DF"/>
    <w:rsid w:val="00B47D2B"/>
    <w:rsid w:val="00C54D77"/>
    <w:rsid w:val="00D86825"/>
    <w:rsid w:val="00E1279D"/>
    <w:rsid w:val="00E6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8EC01"/>
  <w15:chartTrackingRefBased/>
  <w15:docId w15:val="{75C58899-47E8-4229-A17F-AF352C88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yi-Hebr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057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057DF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B057D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41EE3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116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161"/>
    <w:rPr>
      <w:rFonts w:ascii="Segoe UI" w:hAnsi="Segoe UI" w:cs="Segoe UI"/>
      <w:sz w:val="18"/>
      <w:szCs w:val="18"/>
      <w:lang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11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11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1161"/>
    <w:rPr>
      <w:lang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1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161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uterJ\Documents\Aangepaste%20Office-sjablonen\Postzegels%20bestuursvergadering%20agend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Postzegels bestuursvergadering agenda</Template>
  <TotalTime>2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2953</CharactersWithSpaces>
  <SharedDoc>false</SharedDoc>
  <HLinks>
    <vt:vector size="6" baseType="variant">
      <vt:variant>
        <vt:i4>7340150</vt:i4>
      </vt:variant>
      <vt:variant>
        <vt:i4>1024</vt:i4>
      </vt:variant>
      <vt:variant>
        <vt:i4>1025</vt:i4>
      </vt:variant>
      <vt:variant>
        <vt:i4>1</vt:i4>
      </vt:variant>
      <vt:variant>
        <vt:lpwstr>VPG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Wouter J. den Ouden / Elselien van Diffelen</dc:creator>
  <cp:keywords/>
  <dc:description/>
  <cp:lastModifiedBy>Wouter J. den Ouden</cp:lastModifiedBy>
  <cp:revision>4</cp:revision>
  <dcterms:created xsi:type="dcterms:W3CDTF">2016-08-30T10:23:00Z</dcterms:created>
  <dcterms:modified xsi:type="dcterms:W3CDTF">2016-09-29T11:13:00Z</dcterms:modified>
</cp:coreProperties>
</file>